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240" w:after="120"/>
        <w:jc w:val="center"/>
        <w:rPr/>
      </w:pPr>
      <w:r>
        <w:rPr>
          <w:rFonts w:eastAsia="Times New Roman" w:cs="Times New Roman"/>
          <w:b/>
          <w:bCs/>
          <w:caps/>
          <w:w w:val="122"/>
          <w:sz w:val="20"/>
          <w:szCs w:val="20"/>
          <w:lang w:eastAsia="ar-SA" w:bidi="ar-SA"/>
        </w:rPr>
        <w:t>ЧАСТНОЕ ОБРАЗОВАТЕЛЬНОЕ УЧРЕЖДЕНИЕ                                                         ДОПОЛНИТЕЛЬНОГО ПРОФЕССИОНАЛЬНОГО ОБРАЗОВАНИЯ «ИНСТИТУТ ПРИКЛАДНОЙ АВТОМАТИЗАЦИИ И ПРОГРАММИРОВАНИЯ»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  <w:bCs/>
          <w:w w:val="122"/>
          <w:sz w:val="30"/>
          <w:szCs w:val="30"/>
        </w:rPr>
        <w:t>УЧ</w:t>
      </w:r>
      <w:r>
        <w:rPr>
          <w:rFonts w:cs="Times New Roman"/>
          <w:b/>
          <w:bCs/>
          <w:w w:val="110"/>
          <w:sz w:val="30"/>
          <w:szCs w:val="30"/>
        </w:rPr>
        <w:t>ЕБ</w:t>
      </w:r>
      <w:r>
        <w:rPr>
          <w:rFonts w:cs="Times New Roman"/>
          <w:b/>
          <w:bCs/>
          <w:w w:val="129"/>
          <w:sz w:val="30"/>
          <w:szCs w:val="30"/>
        </w:rPr>
        <w:t>НО</w:t>
      </w:r>
      <w:r>
        <w:rPr>
          <w:rFonts w:cs="Times New Roman"/>
          <w:b/>
          <w:bCs/>
          <w:spacing w:val="2"/>
          <w:w w:val="55"/>
          <w:sz w:val="30"/>
          <w:szCs w:val="30"/>
        </w:rPr>
        <w:t>-</w:t>
      </w:r>
      <w:r>
        <w:rPr>
          <w:rFonts w:cs="Times New Roman"/>
          <w:b/>
          <w:bCs/>
          <w:spacing w:val="-3"/>
          <w:w w:val="110"/>
          <w:sz w:val="30"/>
          <w:szCs w:val="30"/>
        </w:rPr>
        <w:t>Т</w:t>
      </w:r>
      <w:r>
        <w:rPr>
          <w:rFonts w:cs="Times New Roman"/>
          <w:b/>
          <w:bCs/>
          <w:w w:val="110"/>
          <w:sz w:val="30"/>
          <w:szCs w:val="30"/>
        </w:rPr>
        <w:t>Е</w:t>
      </w:r>
      <w:r>
        <w:rPr>
          <w:rFonts w:cs="Times New Roman"/>
          <w:b/>
          <w:bCs/>
          <w:spacing w:val="2"/>
          <w:w w:val="157"/>
          <w:sz w:val="30"/>
          <w:szCs w:val="30"/>
        </w:rPr>
        <w:t>М</w:t>
      </w:r>
      <w:r>
        <w:rPr>
          <w:rFonts w:cs="Times New Roman"/>
          <w:b/>
          <w:bCs/>
          <w:w w:val="120"/>
          <w:sz w:val="30"/>
          <w:szCs w:val="30"/>
        </w:rPr>
        <w:t>А</w:t>
      </w:r>
      <w:r>
        <w:rPr>
          <w:rFonts w:cs="Times New Roman"/>
          <w:b/>
          <w:bCs/>
          <w:spacing w:val="-3"/>
          <w:w w:val="110"/>
          <w:sz w:val="30"/>
          <w:szCs w:val="30"/>
        </w:rPr>
        <w:t>Т</w:t>
      </w:r>
      <w:r>
        <w:rPr>
          <w:rFonts w:cs="Times New Roman"/>
          <w:b/>
          <w:bCs/>
          <w:w w:val="129"/>
          <w:sz w:val="30"/>
          <w:szCs w:val="30"/>
        </w:rPr>
        <w:t>И</w:t>
      </w:r>
      <w:r>
        <w:rPr>
          <w:rFonts w:cs="Times New Roman"/>
          <w:b/>
          <w:bCs/>
          <w:spacing w:val="2"/>
          <w:w w:val="122"/>
          <w:sz w:val="30"/>
          <w:szCs w:val="30"/>
        </w:rPr>
        <w:t>Ч</w:t>
      </w:r>
      <w:r>
        <w:rPr>
          <w:rFonts w:cs="Times New Roman"/>
          <w:b/>
          <w:bCs/>
          <w:spacing w:val="-3"/>
          <w:w w:val="110"/>
          <w:sz w:val="30"/>
          <w:szCs w:val="30"/>
        </w:rPr>
        <w:t>Е</w:t>
      </w:r>
      <w:r>
        <w:rPr>
          <w:rFonts w:cs="Times New Roman"/>
          <w:b/>
          <w:bCs/>
          <w:w w:val="120"/>
          <w:sz w:val="30"/>
          <w:szCs w:val="30"/>
        </w:rPr>
        <w:t>СК</w:t>
      </w:r>
      <w:r>
        <w:rPr>
          <w:rFonts w:cs="Times New Roman"/>
          <w:b/>
          <w:bCs/>
          <w:w w:val="129"/>
          <w:sz w:val="30"/>
          <w:szCs w:val="30"/>
        </w:rPr>
        <w:t>ИЙ</w:t>
      </w:r>
      <w:r>
        <w:rPr>
          <w:rFonts w:cs="Times New Roman"/>
          <w:b/>
          <w:bCs/>
          <w:spacing w:val="-122"/>
          <w:sz w:val="30"/>
          <w:szCs w:val="30"/>
        </w:rPr>
        <w:t xml:space="preserve"> </w:t>
      </w:r>
      <w:r>
        <w:rPr>
          <w:rFonts w:cs="Times New Roman"/>
          <w:b/>
          <w:bCs/>
          <w:w w:val="129"/>
          <w:sz w:val="30"/>
          <w:szCs w:val="30"/>
        </w:rPr>
        <w:t>П</w:t>
      </w:r>
      <w:r>
        <w:rPr>
          <w:rFonts w:cs="Times New Roman"/>
          <w:b/>
          <w:bCs/>
          <w:w w:val="124"/>
          <w:sz w:val="30"/>
          <w:szCs w:val="30"/>
        </w:rPr>
        <w:t>Л</w:t>
      </w:r>
      <w:r>
        <w:rPr>
          <w:rFonts w:cs="Times New Roman"/>
          <w:b/>
          <w:bCs/>
          <w:w w:val="120"/>
          <w:sz w:val="30"/>
          <w:szCs w:val="30"/>
        </w:rPr>
        <w:t>А</w:t>
      </w:r>
      <w:r>
        <w:rPr>
          <w:rFonts w:cs="Times New Roman"/>
          <w:b/>
          <w:bCs/>
          <w:w w:val="129"/>
          <w:sz w:val="30"/>
          <w:szCs w:val="30"/>
        </w:rPr>
        <w:t>Н</w:t>
      </w:r>
      <w:r>
        <w:rPr/>
        <w:tab/>
      </w:r>
    </w:p>
    <w:p>
      <w:pPr>
        <w:pStyle w:val="2"/>
        <w:numPr>
          <w:ilvl w:val="1"/>
          <w:numId w:val="1"/>
        </w:numPr>
        <w:spacing w:before="261" w:after="0"/>
        <w:ind w:left="4" w:hanging="576"/>
        <w:jc w:val="center"/>
        <w:rPr/>
      </w:pPr>
      <w:r>
        <w:rPr>
          <w:rFonts w:cs="Times New Roman" w:ascii="Times New Roman" w:hAnsi="Times New Roman"/>
          <w:b/>
          <w:bCs/>
          <w:w w:val="95"/>
        </w:rPr>
        <w:t>дополнительной профессиональной</w:t>
      </w:r>
      <w:r>
        <w:rPr>
          <w:rFonts w:cs="Times New Roman" w:ascii="Times New Roman" w:hAnsi="Times New Roman"/>
          <w:b/>
          <w:bCs/>
          <w:spacing w:val="-122"/>
          <w:w w:val="95"/>
        </w:rPr>
        <w:t xml:space="preserve"> </w:t>
      </w:r>
      <w:r>
        <w:rPr>
          <w:rFonts w:cs="Times New Roman" w:ascii="Times New Roman" w:hAnsi="Times New Roman"/>
          <w:b/>
          <w:bCs/>
          <w:w w:val="95"/>
        </w:rPr>
        <w:t>программы</w:t>
      </w:r>
      <w:r>
        <w:rPr>
          <w:rFonts w:cs="Times New Roman" w:ascii="Times New Roman" w:hAnsi="Times New Roman"/>
          <w:b/>
          <w:bCs/>
          <w:spacing w:val="-123"/>
          <w:w w:val="95"/>
        </w:rPr>
        <w:t xml:space="preserve"> </w:t>
      </w:r>
      <w:r>
        <w:rPr>
          <w:rFonts w:cs="Times New Roman" w:ascii="Times New Roman" w:hAnsi="Times New Roman"/>
          <w:b/>
          <w:bCs/>
          <w:w w:val="95"/>
        </w:rPr>
        <w:t>повышения</w:t>
      </w:r>
      <w:r>
        <w:rPr>
          <w:rFonts w:cs="Times New Roman" w:ascii="Times New Roman" w:hAnsi="Times New Roman"/>
          <w:b/>
          <w:bCs/>
          <w:spacing w:val="-121"/>
          <w:w w:val="95"/>
        </w:rPr>
        <w:t xml:space="preserve"> </w:t>
      </w:r>
      <w:r>
        <w:rPr>
          <w:rFonts w:cs="Times New Roman" w:ascii="Times New Roman" w:hAnsi="Times New Roman"/>
          <w:b/>
          <w:bCs/>
          <w:w w:val="95"/>
        </w:rPr>
        <w:t>квалификации</w:t>
      </w:r>
      <w:r>
        <w:rPr>
          <w:rFonts w:cs="Times New Roman" w:ascii="Times New Roman" w:hAnsi="Times New Roman"/>
          <w:b/>
          <w:bCs/>
          <w:spacing w:val="-121"/>
          <w:w w:val="95"/>
        </w:rPr>
        <w:t xml:space="preserve"> </w:t>
      </w:r>
    </w:p>
    <w:p>
      <w:pPr>
        <w:pStyle w:val="Normal"/>
        <w:spacing w:lineRule="auto" w:line="360" w:before="1" w:after="0"/>
        <w:ind w:left="4" w:hanging="0"/>
        <w:jc w:val="center"/>
        <w:rPr/>
      </w:pPr>
      <w:r>
        <w:rPr>
          <w:rFonts w:eastAsia="Times New Roman" w:cs="Times New Roman"/>
          <w:b/>
          <w:w w:val="95"/>
          <w:sz w:val="28"/>
          <w:lang w:eastAsia="ar-SA" w:bidi="ar-SA"/>
        </w:rPr>
        <w:t>«</w:t>
      </w:r>
      <w:r>
        <w:rPr>
          <w:rFonts w:eastAsia="Times New Roman" w:cs="Times New Roman"/>
          <w:b/>
          <w:caps/>
          <w:w w:val="95"/>
          <w:sz w:val="28"/>
          <w:lang w:eastAsia="ar-SA" w:bidi="ar-SA"/>
        </w:rPr>
        <w:t xml:space="preserve">Автоматизированный расчет смет в сметных программных комплексах (SmetaWIZARD, Сметный калькулятор) </w:t>
      </w:r>
      <w:r>
        <w:rPr>
          <w:rFonts w:eastAsia="Times New Roman" w:cs="Times New Roman"/>
          <w:b/>
          <w:w w:val="95"/>
          <w:sz w:val="28"/>
          <w:lang w:eastAsia="ar-SA" w:bidi="ar-SA"/>
        </w:rPr>
        <w:t>»</w:t>
      </w:r>
    </w:p>
    <w:p>
      <w:pPr>
        <w:pStyle w:val="Style19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Style19"/>
        <w:spacing w:before="2" w:after="0"/>
        <w:rPr>
          <w:rFonts w:ascii="Courier New" w:hAnsi="Courier New" w:cs="Courier New"/>
          <w:sz w:val="26"/>
        </w:rPr>
      </w:pPr>
      <w:r>
        <w:rPr>
          <w:rFonts w:cs="Courier New" w:ascii="Courier New" w:hAnsi="Courier New"/>
          <w:sz w:val="26"/>
        </w:rPr>
      </w:r>
    </w:p>
    <w:p>
      <w:pPr>
        <w:pStyle w:val="Style19"/>
        <w:tabs>
          <w:tab w:val="clear" w:pos="709"/>
          <w:tab w:val="left" w:pos="6451" w:leader="none"/>
        </w:tabs>
        <w:spacing w:lineRule="auto" w:line="228" w:before="64" w:after="0"/>
        <w:ind w:left="3419" w:right="193" w:hanging="3161"/>
        <w:jc w:val="both"/>
        <w:rPr/>
      </w:pPr>
      <w:r>
        <w:rPr>
          <w:rFonts w:cs="Courier New" w:ascii="Courier New" w:hAnsi="Courier New"/>
        </w:rPr>
        <w:t>Цель</w:t>
        <w:tab/>
      </w:r>
      <w:r>
        <w:rPr/>
        <w:t xml:space="preserve">─     </w:t>
      </w:r>
      <w:r>
        <w:rPr>
          <w:rStyle w:val="Style13"/>
          <w:rFonts w:eastAsia="Times New Roman"/>
        </w:rPr>
        <w:t>формирование у слушателей целостной системы теоретических и практических знаний и навыков в сфере сметного дела в строительстве;</w:t>
      </w:r>
    </w:p>
    <w:p>
      <w:pPr>
        <w:pStyle w:val="Style19"/>
        <w:tabs>
          <w:tab w:val="clear" w:pos="709"/>
          <w:tab w:val="left" w:pos="3290" w:leader="none"/>
          <w:tab w:val="left" w:pos="3677" w:leader="none"/>
          <w:tab w:val="left" w:pos="5364" w:leader="none"/>
          <w:tab w:val="left" w:pos="7147" w:leader="none"/>
          <w:tab w:val="left" w:pos="8520" w:leader="none"/>
          <w:tab w:val="left" w:pos="8950" w:leader="none"/>
        </w:tabs>
        <w:spacing w:before="143" w:after="0"/>
        <w:ind w:left="258" w:hanging="0"/>
        <w:rPr/>
      </w:pPr>
      <w:r>
        <w:rPr>
          <w:rFonts w:cs="Courier New" w:ascii="Courier New" w:hAnsi="Courier New"/>
          <w:w w:val="90"/>
        </w:rPr>
        <w:t>Категория</w:t>
      </w:r>
      <w:r>
        <w:rPr>
          <w:rFonts w:cs="Courier New" w:ascii="Courier New" w:hAnsi="Courier New"/>
          <w:spacing w:val="-78"/>
          <w:w w:val="90"/>
        </w:rPr>
        <w:t xml:space="preserve"> </w:t>
      </w:r>
      <w:r>
        <w:rPr>
          <w:rFonts w:cs="Courier New" w:ascii="Courier New" w:hAnsi="Courier New"/>
          <w:w w:val="90"/>
        </w:rPr>
        <w:t>слушателей</w:t>
        <w:tab/>
      </w:r>
      <w:r>
        <w:rPr/>
        <w:t>─</w:t>
        <w:tab/>
        <w:t>специалисты,</w:t>
        <w:tab/>
        <w:t>руководители,</w:t>
        <w:tab/>
        <w:t>бакалавры</w:t>
        <w:tab/>
        <w:t>и</w:t>
        <w:tab/>
        <w:t>магистры строительства;</w:t>
      </w:r>
    </w:p>
    <w:p>
      <w:pPr>
        <w:pStyle w:val="Style19"/>
        <w:spacing w:before="2" w:after="0"/>
        <w:rPr>
          <w:sz w:val="33"/>
        </w:rPr>
      </w:pPr>
      <w:r>
        <w:rPr>
          <w:sz w:val="33"/>
        </w:rPr>
      </w:r>
    </w:p>
    <w:p>
      <w:pPr>
        <w:pStyle w:val="Style19"/>
        <w:tabs>
          <w:tab w:val="clear" w:pos="709"/>
          <w:tab w:val="left" w:pos="3290" w:leader="none"/>
          <w:tab w:val="left" w:pos="3677" w:leader="none"/>
        </w:tabs>
        <w:ind w:left="258" w:hanging="0"/>
        <w:rPr/>
      </w:pPr>
      <w:r>
        <w:rPr>
          <w:rFonts w:cs="Courier New" w:ascii="Courier New" w:hAnsi="Courier New"/>
          <w:w w:val="95"/>
        </w:rPr>
        <w:t>Срок</w:t>
      </w:r>
      <w:r>
        <w:rPr>
          <w:rFonts w:cs="Courier New" w:ascii="Courier New" w:hAnsi="Courier New"/>
          <w:spacing w:val="-95"/>
          <w:w w:val="95"/>
        </w:rPr>
        <w:t xml:space="preserve"> </w:t>
      </w:r>
      <w:r>
        <w:rPr>
          <w:rFonts w:cs="Courier New" w:ascii="Courier New" w:hAnsi="Courier New"/>
          <w:w w:val="95"/>
        </w:rPr>
        <w:t>обучения</w:t>
        <w:tab/>
      </w:r>
      <w:r>
        <w:rPr/>
        <w:t>─</w:t>
        <w:tab/>
      </w:r>
      <w:r>
        <w:rPr>
          <w:rFonts w:cs="Courier New" w:ascii="Courier New" w:hAnsi="Courier New"/>
          <w:lang w:val="ru-RU"/>
        </w:rPr>
        <w:t>40</w:t>
      </w:r>
      <w:r>
        <w:rPr>
          <w:rFonts w:cs="Courier New" w:ascii="Courier New" w:hAnsi="Courier New"/>
          <w:spacing w:val="17"/>
        </w:rPr>
        <w:t xml:space="preserve"> </w:t>
      </w:r>
      <w:r>
        <w:rPr/>
        <w:t>часа;</w:t>
      </w:r>
    </w:p>
    <w:tbl>
      <w:tblPr>
        <w:tblW w:w="9485" w:type="dxa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323"/>
        <w:gridCol w:w="764"/>
        <w:gridCol w:w="6398"/>
      </w:tblGrid>
      <w:tr>
        <w:trPr>
          <w:trHeight w:val="360" w:hRule="exact"/>
        </w:trPr>
        <w:tc>
          <w:tcPr>
            <w:tcW w:w="2323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81" w:after="0"/>
              <w:ind w:left="35" w:hanging="0"/>
              <w:rPr/>
            </w:pPr>
            <w:r>
              <w:rPr>
                <w:rFonts w:cs="Courier New" w:ascii="Courier New" w:hAnsi="Courier New"/>
                <w:w w:val="95"/>
              </w:rPr>
              <w:t>Форма</w:t>
            </w:r>
            <w:r>
              <w:rPr>
                <w:rFonts w:cs="Courier New" w:ascii="Courier New" w:hAnsi="Courier New"/>
                <w:spacing w:val="-106"/>
                <w:w w:val="95"/>
              </w:rPr>
              <w:t xml:space="preserve"> </w:t>
            </w:r>
            <w:r>
              <w:rPr>
                <w:rFonts w:cs="Courier New" w:ascii="Courier New" w:hAnsi="Courier New"/>
                <w:w w:val="95"/>
              </w:rPr>
              <w:t>обучения</w:t>
            </w:r>
          </w:p>
        </w:tc>
        <w:tc>
          <w:tcPr>
            <w:tcW w:w="764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52" w:after="0"/>
              <w:ind w:right="106" w:hanging="0"/>
              <w:jc w:val="right"/>
              <w:rPr/>
            </w:pPr>
            <w:r>
              <w:rPr>
                <w:w w:val="99"/>
              </w:rPr>
              <w:t>─</w:t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52" w:after="0"/>
              <w:ind w:left="108" w:hanging="0"/>
              <w:rPr/>
            </w:pPr>
            <w:r>
              <w:rPr/>
              <w:t>определяется  совместно  образовательным  учреждением  и</w:t>
            </w:r>
          </w:p>
        </w:tc>
      </w:tr>
      <w:tr>
        <w:trPr>
          <w:trHeight w:val="1448" w:hRule="exact"/>
        </w:trPr>
        <w:tc>
          <w:tcPr>
            <w:tcW w:w="232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76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lineRule="exact" w:line="244"/>
              <w:ind w:left="108" w:hanging="0"/>
              <w:rPr/>
            </w:pPr>
            <w:r>
              <w:rPr/>
              <w:t>Заказчиком: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57" w:leader="none"/>
              </w:tabs>
              <w:spacing w:lineRule="exact" w:line="286"/>
              <w:ind w:left="108" w:hanging="0"/>
              <w:rPr/>
            </w:pPr>
            <w:r>
              <w:rPr/>
              <w:t>с</w:t>
            </w:r>
            <w:r>
              <w:rPr>
                <w:spacing w:val="-14"/>
              </w:rPr>
              <w:t xml:space="preserve"> </w:t>
            </w:r>
            <w:r>
              <w:rPr/>
              <w:t>полным</w:t>
            </w:r>
            <w:r>
              <w:rPr>
                <w:spacing w:val="-11"/>
              </w:rPr>
              <w:t xml:space="preserve"> </w:t>
            </w:r>
            <w:r>
              <w:rPr/>
              <w:t>отрывом</w:t>
            </w:r>
            <w:r>
              <w:rPr>
                <w:spacing w:val="-11"/>
              </w:rPr>
              <w:t xml:space="preserve"> </w:t>
            </w:r>
            <w:r>
              <w:rPr/>
              <w:t>от</w:t>
            </w:r>
            <w:r>
              <w:rPr>
                <w:spacing w:val="-11"/>
              </w:rPr>
              <w:t xml:space="preserve"> </w:t>
            </w:r>
            <w:r>
              <w:rPr/>
              <w:t>производства</w:t>
            </w:r>
            <w:r>
              <w:rPr>
                <w:spacing w:val="-11"/>
              </w:rPr>
              <w:t xml:space="preserve"> </w:t>
            </w:r>
            <w:r>
              <w:rPr/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rFonts w:cs="Courier New" w:ascii="Courier New" w:hAnsi="Courier New"/>
              </w:rPr>
              <w:t>очно</w:t>
            </w:r>
            <w:r>
              <w:rPr/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97" w:leader="none"/>
              </w:tabs>
              <w:spacing w:lineRule="exact" w:line="276"/>
              <w:ind w:left="248" w:hanging="140"/>
              <w:rPr/>
            </w:pPr>
            <w:r>
              <w:rPr/>
              <w:t>с</w:t>
            </w:r>
            <w:r>
              <w:rPr>
                <w:spacing w:val="-30"/>
              </w:rPr>
              <w:t xml:space="preserve"> </w:t>
            </w:r>
            <w:r>
              <w:rPr/>
              <w:t>частичным</w:t>
            </w:r>
            <w:r>
              <w:rPr>
                <w:spacing w:val="-30"/>
              </w:rPr>
              <w:t xml:space="preserve"> </w:t>
            </w:r>
            <w:r>
              <w:rPr/>
              <w:t>отрывом</w:t>
            </w:r>
            <w:r>
              <w:rPr>
                <w:spacing w:val="-28"/>
              </w:rPr>
              <w:t xml:space="preserve"> </w:t>
            </w:r>
            <w:r>
              <w:rPr/>
              <w:t>от</w:t>
            </w:r>
            <w:r>
              <w:rPr>
                <w:spacing w:val="-29"/>
              </w:rPr>
              <w:t xml:space="preserve"> </w:t>
            </w:r>
            <w:r>
              <w:rPr/>
              <w:t>производства</w:t>
            </w:r>
            <w:r>
              <w:rPr>
                <w:spacing w:val="-29"/>
              </w:rPr>
              <w:t xml:space="preserve"> </w:t>
            </w:r>
            <w:r>
              <w:rPr/>
              <w:t>–</w:t>
            </w:r>
            <w:r>
              <w:rPr>
                <w:spacing w:val="-29"/>
              </w:rPr>
              <w:t xml:space="preserve"> </w:t>
            </w:r>
            <w:r>
              <w:rPr>
                <w:rFonts w:cs="Courier New" w:ascii="Courier New" w:hAnsi="Courier New"/>
              </w:rPr>
              <w:t>очно</w:t>
            </w:r>
            <w:r>
              <w:rPr>
                <w:rFonts w:cs="Courier New" w:ascii="Courier New" w:hAnsi="Courier New"/>
                <w:spacing w:val="-113"/>
              </w:rPr>
              <w:t xml:space="preserve"> </w:t>
            </w:r>
            <w:r>
              <w:rPr>
                <w:rFonts w:cs="Courier New" w:ascii="Courier New" w:hAnsi="Courier New"/>
              </w:rPr>
              <w:t>–</w:t>
            </w:r>
            <w:r>
              <w:rPr>
                <w:rFonts w:cs="Courier New" w:ascii="Courier New" w:hAnsi="Courier New"/>
                <w:spacing w:val="-113"/>
              </w:rPr>
              <w:t xml:space="preserve"> </w:t>
            </w:r>
            <w:r>
              <w:rPr>
                <w:rFonts w:cs="Courier New" w:ascii="Courier New" w:hAnsi="Courier New"/>
              </w:rPr>
              <w:t>заочно</w:t>
            </w:r>
            <w:r>
              <w:rPr/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17" w:leader="none"/>
              </w:tabs>
              <w:spacing w:lineRule="auto" w:line="216" w:before="5" w:after="0"/>
              <w:ind w:left="108" w:right="33" w:hanging="0"/>
              <w:rPr/>
            </w:pPr>
            <w:r>
              <w:rPr/>
              <w:t xml:space="preserve">без отрыва от производства – </w:t>
            </w:r>
            <w:r>
              <w:rPr>
                <w:rFonts w:cs="Courier New" w:ascii="Courier New" w:hAnsi="Courier New"/>
              </w:rPr>
              <w:t xml:space="preserve">заочно </w:t>
            </w:r>
            <w:r>
              <w:rPr/>
              <w:t>(</w:t>
            </w:r>
            <w:r>
              <w:rPr>
                <w:u w:val="single"/>
              </w:rPr>
              <w:t>дистанционно</w:t>
            </w:r>
            <w:r>
              <w:rPr/>
              <w:t>, с применением современных интернет</w:t>
            </w:r>
            <w:r>
              <w:rPr>
                <w:spacing w:val="-4"/>
              </w:rPr>
              <w:t xml:space="preserve"> </w:t>
            </w:r>
            <w:r>
              <w:rPr/>
              <w:t>технологий)</w:t>
            </w:r>
          </w:p>
        </w:tc>
      </w:tr>
      <w:tr>
        <w:trPr>
          <w:trHeight w:val="368" w:hRule="exact"/>
        </w:trPr>
        <w:tc>
          <w:tcPr>
            <w:tcW w:w="2323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67" w:after="0"/>
              <w:ind w:left="35" w:hanging="0"/>
              <w:rPr/>
            </w:pPr>
            <w:r>
              <w:rPr>
                <w:rFonts w:cs="Courier New" w:ascii="Courier New" w:hAnsi="Courier New"/>
                <w:w w:val="95"/>
              </w:rPr>
              <w:t>Режим</w:t>
            </w:r>
            <w:r>
              <w:rPr>
                <w:rFonts w:cs="Courier New" w:ascii="Courier New" w:hAnsi="Courier New"/>
                <w:spacing w:val="-114"/>
                <w:w w:val="95"/>
              </w:rPr>
              <w:t xml:space="preserve"> </w:t>
            </w:r>
            <w:r>
              <w:rPr>
                <w:rFonts w:cs="Courier New" w:ascii="Courier New" w:hAnsi="Courier New"/>
                <w:w w:val="95"/>
              </w:rPr>
              <w:t>занятий</w:t>
            </w:r>
          </w:p>
        </w:tc>
        <w:tc>
          <w:tcPr>
            <w:tcW w:w="764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41" w:after="0"/>
              <w:ind w:right="106" w:hanging="0"/>
              <w:jc w:val="right"/>
              <w:rPr/>
            </w:pPr>
            <w:r>
              <w:rPr>
                <w:w w:val="99"/>
              </w:rPr>
              <w:t>─</w:t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before="41" w:after="0"/>
              <w:ind w:left="108" w:hanging="0"/>
              <w:rPr/>
            </w:pPr>
            <w:r>
              <w:rPr/>
              <w:t>определяется  совместно  образовательным  учреждением  и</w:t>
            </w:r>
          </w:p>
        </w:tc>
      </w:tr>
      <w:tr>
        <w:trPr>
          <w:trHeight w:val="377" w:hRule="exact"/>
        </w:trPr>
        <w:tc>
          <w:tcPr>
            <w:tcW w:w="232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76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398" w:type="dxa"/>
            <w:tcBorders/>
            <w:shd w:color="auto" w:fill="auto" w:val="clear"/>
          </w:tcPr>
          <w:p>
            <w:pPr>
              <w:pStyle w:val="TableParagraph"/>
              <w:widowControl w:val="false"/>
              <w:spacing w:lineRule="exact" w:line="265"/>
              <w:ind w:left="108" w:hanging="0"/>
              <w:rPr/>
            </w:pPr>
            <w:r>
              <w:rPr/>
              <w:t>Заказчиком (не более 8 часов в день)</w:t>
            </w:r>
          </w:p>
        </w:tc>
      </w:tr>
    </w:tbl>
    <w:p>
      <w:pPr>
        <w:pStyle w:val="Style19"/>
        <w:rPr>
          <w:sz w:val="20"/>
        </w:rPr>
      </w:pPr>
      <w:r>
        <w:rPr>
          <w:sz w:val="20"/>
        </w:rPr>
      </w:r>
    </w:p>
    <w:tbl>
      <w:tblPr>
        <w:tblW w:w="10380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99"/>
        <w:gridCol w:w="858"/>
        <w:gridCol w:w="1018"/>
        <w:gridCol w:w="960"/>
        <w:gridCol w:w="1143"/>
        <w:gridCol w:w="1301"/>
      </w:tblGrid>
      <w:tr>
        <w:trPr>
          <w:trHeight w:val="632" w:hRule="exact"/>
          <w:cantSplit w:val="true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Наименование тем занятий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В том числе по видам занятий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Время самостоятельной работы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Форма контроля</w:t>
            </w:r>
          </w:p>
        </w:tc>
      </w:tr>
      <w:tr>
        <w:trPr>
          <w:trHeight w:val="593" w:hRule="exact"/>
          <w:cantSplit w:val="true"/>
        </w:trPr>
        <w:tc>
          <w:tcPr>
            <w:tcW w:w="5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 xml:space="preserve">теоретическая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3223" w:leader="none"/>
              </w:tabs>
              <w:rPr/>
            </w:pPr>
            <w:r>
              <w:rPr>
                <w:rFonts w:cs="Times New Roman"/>
                <w:b/>
              </w:rPr>
              <w:t xml:space="preserve">Практическая часть обучения. </w:t>
            </w:r>
            <w:r>
              <w:rPr>
                <w:rFonts w:eastAsia="Times New Roman" w:cs="Times New Roman"/>
                <w:b/>
                <w:lang w:eastAsia="ar-SA" w:bidi="ar-SA"/>
              </w:rPr>
              <w:t>«Автоматизация процесса расчета смет на программе «</w:t>
            </w:r>
            <w:r>
              <w:rPr>
                <w:rFonts w:eastAsia="Times New Roman" w:cs="Times New Roman"/>
                <w:b/>
                <w:lang w:val="en-US" w:eastAsia="ar-SA" w:bidi="ar-SA"/>
              </w:rPr>
              <w:t>Smeta</w:t>
            </w:r>
            <w:r>
              <w:rPr>
                <w:rFonts w:eastAsia="Times New Roman" w:cs="Times New Roman"/>
                <w:b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ar-SA" w:bidi="ar-SA"/>
              </w:rPr>
              <w:t>Wizard</w:t>
            </w:r>
            <w:r>
              <w:rPr>
                <w:rFonts w:eastAsia="Times New Roman" w:cs="Times New Roman"/>
                <w:b/>
                <w:lang w:eastAsia="ar-SA" w:bidi="ar-SA"/>
              </w:rPr>
              <w:t>»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Основные понятия и термины. Интерфейс и настройка.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2</w:t>
            </w:r>
            <w:r>
              <w:rPr>
                <w:rFonts w:eastAsia="Times New Roman" w:cs="Times New Roman"/>
                <w:color w:val="000000"/>
                <w:lang w:eastAsia="ru-RU"/>
              </w:rPr>
              <w:t>. Базы данных в программе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3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Составление локальной сметы базисно-индексным методом с применением индекса СМР в соответствии с приказом №421/пр.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4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Составление локальной сметы базисно-индексным методом с применением индекса по элементам прямых затрат в соответствии с приказом №421/пр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Тема № 5. </w:t>
            </w:r>
            <w:r>
              <w:rPr>
                <w:rFonts w:eastAsia="Times New Roman" w:cs="Times New Roman"/>
                <w:color w:val="000000"/>
                <w:lang w:eastAsia="ru-RU"/>
              </w:rPr>
              <w:t>Порядок формирования персональной расценки.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6.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Составление локальной сметы базисно-индексным методом с применением попозиционных индексов (по расценкам и по видам работ) в соответствии с приказом №421/пр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7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Составление локальной сметы ресурсным методом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8</w:t>
            </w:r>
            <w:r>
              <w:rPr>
                <w:rFonts w:eastAsia="Times New Roman" w:cs="Times New Roman"/>
                <w:color w:val="000000"/>
                <w:lang w:eastAsia="ru-RU"/>
              </w:rPr>
              <w:t>. Конъюнктурный анализ стоимости материалов.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9</w:t>
            </w:r>
            <w:r>
              <w:rPr>
                <w:rFonts w:eastAsia="Times New Roman" w:cs="Times New Roman"/>
                <w:color w:val="000000"/>
                <w:lang w:eastAsia="ru-RU"/>
              </w:rPr>
              <w:t>. Особенности составления смет на монтаж оборудования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Тема №10. </w:t>
            </w:r>
            <w:r>
              <w:rPr>
                <w:rFonts w:eastAsia="Times New Roman" w:cs="Times New Roman"/>
                <w:color w:val="000000"/>
                <w:lang w:eastAsia="ru-RU"/>
              </w:rPr>
              <w:t>Особенности определения стоимости капитального ремонта.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№ 11</w:t>
            </w:r>
            <w:r>
              <w:rPr>
                <w:rFonts w:eastAsia="Times New Roman" w:cs="Times New Roman"/>
                <w:color w:val="000000"/>
                <w:lang w:eastAsia="ru-RU"/>
              </w:rPr>
              <w:t>. Создание форм отчетности (КС-2, КС-3 и КС-6а)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/>
                <w:color w:val="000000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fill="auto" w:val="clear"/>
                <w:lang w:eastAsia="ru-RU"/>
              </w:rPr>
              <w:t>Тема № 12.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hd w:fill="auto" w:val="clear"/>
                <w:lang w:eastAsia="ru-RU"/>
              </w:rPr>
              <w:t xml:space="preserve">Нововведения в ПП SmetaWIZARD 5.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Тема №13. </w:t>
            </w: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 xml:space="preserve">Автоматизация процесса расчета смет на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ar-SA" w:bidi="ar-SA"/>
              </w:rPr>
              <w:t>ПП «Сметный Калькулятор»</w:t>
            </w: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: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Интерфейс и настройка.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Составление ЛС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Создание форм отчетности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ar-SA" w:bidi="ar-SA"/>
              </w:rPr>
              <w:t>Экспорт/Импорт данны</w:t>
            </w: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х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Times New Roman"/>
                <w:b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</w:r>
          </w:p>
        </w:tc>
      </w:tr>
      <w:tr>
        <w:trPr>
          <w:trHeight w:val="60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Итоговая аттестация по учебному курсу в виде контрольной работы (с оценкой)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</w:rPr>
              <w:t>Контрольная работа</w:t>
            </w:r>
          </w:p>
        </w:tc>
      </w:tr>
      <w:tr>
        <w:trPr>
          <w:trHeight w:val="574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Style w:val="Style17"/>
                <w:rFonts w:eastAsia="Times New Roman" w:cs="Times New Roman"/>
                <w:color w:val="000000"/>
                <w:lang w:eastAsia="ru-RU"/>
              </w:rPr>
              <w:t>Всего по курсу обучения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b/>
                <w:b/>
                <w:i/>
                <w:i/>
                <w:lang w:val="en-US" w:eastAsia="ar-SA" w:bidi="ar-SA"/>
              </w:rPr>
            </w:pPr>
            <w:r>
              <w:rPr>
                <w:rFonts w:eastAsia="Times New Roman" w:cs="Times New Roman"/>
                <w:b/>
                <w:i/>
                <w:lang w:val="en-US" w:eastAsia="ar-SA" w:bidi="ar-SA"/>
              </w:rPr>
            </w:r>
          </w:p>
        </w:tc>
      </w:tr>
    </w:tbl>
    <w:p>
      <w:pPr>
        <w:pStyle w:val="14"/>
        <w:spacing w:lineRule="auto" w:line="360" w:before="1" w:after="0"/>
        <w:ind w:firstLine="709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отдел</w:t>
      </w:r>
    </w:p>
    <w:sectPr>
      <w:headerReference w:type="default" r:id="rId2"/>
      <w:footerReference w:type="default" r:id="rId3"/>
      <w:type w:val="nextPage"/>
      <w:pgSz w:w="11906" w:h="16838"/>
      <w:pgMar w:left="1160" w:right="880" w:header="720" w:top="820" w:footer="720" w:bottom="7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Copyist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09"/>
        </w:tabs>
        <w:ind w:left="108" w:hanging="140"/>
      </w:pPr>
      <w:rPr>
        <w:rFonts w:ascii="Times New Roman" w:hAnsi="Times New Roman" w:cs="Times New Roman" w:hint="default"/>
        <w:sz w:val="28"/>
        <w:szCs w:val="28"/>
        <w:lang w:val="ru-RU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9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1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48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78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0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37" w:hanging="14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Style19"/>
    <w:qFormat/>
    <w:pPr>
      <w:ind w:left="218" w:hanging="0"/>
      <w:outlineLvl w:val="1"/>
    </w:pPr>
    <w:rPr>
      <w:rFonts w:ascii="Courier New" w:hAnsi="Courier New" w:eastAsia="Courier New" w:cs="Courier New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color w:val="auto"/>
      <w:sz w:val="28"/>
      <w:szCs w:val="28"/>
      <w:lang w:val="ru-RU" w:bidi="ar-SA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21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Программа"/>
    <w:qFormat/>
    <w:rPr>
      <w:rFonts w:ascii="Copyist" w:hAnsi="Copyist" w:cs="Copyist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094866"/>
    <w:rPr>
      <w:rFonts w:eastAsia="SimSun" w:cs="Mangal"/>
      <w:kern w:val="2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094866"/>
    <w:rPr>
      <w:rFonts w:eastAsia="SimSun" w:cs="Mangal"/>
      <w:kern w:val="2"/>
      <w:sz w:val="24"/>
      <w:szCs w:val="21"/>
      <w:lang w:eastAsia="zh-CN" w:bidi="hi-IN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3" w:customStyle="1">
    <w:name w:val="Указатель3"/>
    <w:basedOn w:val="Normal"/>
    <w:qFormat/>
    <w:pPr>
      <w:suppressLineNumbers/>
    </w:pPr>
    <w:rPr/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i/>
      <w:iCs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TableParagraph" w:customStyle="1">
    <w:name w:val="Table Paragraph"/>
    <w:basedOn w:val="Normal"/>
    <w:qFormat/>
    <w:pPr/>
    <w:rPr>
      <w:rFonts w:eastAsia="Times New Roman" w:cs="Times New Roman"/>
    </w:rPr>
  </w:style>
  <w:style w:type="paragraph" w:styleId="14" w:customStyle="1">
    <w:name w:val="Абзац списка1"/>
    <w:basedOn w:val="Normal"/>
    <w:qFormat/>
    <w:pPr>
      <w:keepNext w:val="true"/>
      <w:spacing w:lineRule="atLeast" w:line="100"/>
    </w:pPr>
    <w:rPr>
      <w:rFonts w:ascii="Calibri" w:hAnsi="Calibri" w:eastAsia="DejaVu Sans" w:cs="Calibri"/>
      <w:sz w:val="22"/>
      <w:szCs w:val="22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094866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28">
    <w:name w:val="Footer"/>
    <w:basedOn w:val="Normal"/>
    <w:link w:val="ac"/>
    <w:uiPriority w:val="99"/>
    <w:unhideWhenUsed/>
    <w:rsid w:val="00094866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LibreOffice/7.1.2.2$Windows_X86_64 LibreOffice_project/8a45595d069ef5570103caea1b71cc9d82b2aae4</Application>
  <AppVersion>15.0000</AppVersion>
  <Pages>2</Pages>
  <Words>375</Words>
  <Characters>2158</Characters>
  <CharactersWithSpaces>2621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2022-05-26T04:59:00Z</dcterms:created>
  <dc:creator>лоо </dc:creator>
  <dc:description/>
  <dc:language>ru-RU</dc:language>
  <cp:lastModifiedBy/>
  <cp:lastPrinted>1601-01-01T00:00:00Z</cp:lastPrinted>
  <dcterms:modified xsi:type="dcterms:W3CDTF">2022-11-18T09:52:54Z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